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4F6B" w14:textId="77777777" w:rsidR="0063532A" w:rsidRPr="00A21FDD" w:rsidRDefault="0063532A" w:rsidP="0063532A">
      <w:pPr>
        <w:jc w:val="center"/>
        <w:rPr>
          <w:rFonts w:ascii="Georgia" w:hAnsi="Georgia"/>
          <w:sz w:val="24"/>
          <w:szCs w:val="24"/>
        </w:rPr>
      </w:pPr>
      <w:r w:rsidRPr="00A21FDD">
        <w:rPr>
          <w:rFonts w:ascii="Georgia" w:hAnsi="Georgia"/>
          <w:sz w:val="24"/>
          <w:szCs w:val="24"/>
        </w:rPr>
        <w:t>UNITED STATES OF AMERICA</w:t>
      </w:r>
    </w:p>
    <w:p w14:paraId="34599DA8" w14:textId="77777777" w:rsidR="0063532A" w:rsidRPr="00A21FDD" w:rsidRDefault="0063532A" w:rsidP="0063532A">
      <w:pPr>
        <w:jc w:val="center"/>
        <w:rPr>
          <w:rFonts w:ascii="Georgia" w:hAnsi="Georgia"/>
          <w:sz w:val="24"/>
          <w:szCs w:val="24"/>
        </w:rPr>
      </w:pPr>
      <w:r w:rsidRPr="00A21FDD">
        <w:rPr>
          <w:rFonts w:ascii="Georgia" w:hAnsi="Georgia"/>
          <w:sz w:val="24"/>
          <w:szCs w:val="24"/>
        </w:rPr>
        <w:t>BEFORE THE</w:t>
      </w:r>
    </w:p>
    <w:p w14:paraId="6D020215" w14:textId="77777777" w:rsidR="0063532A" w:rsidRPr="00A21FDD" w:rsidRDefault="0063532A" w:rsidP="0063532A">
      <w:pPr>
        <w:jc w:val="center"/>
        <w:rPr>
          <w:rFonts w:ascii="Georgia" w:hAnsi="Georgia"/>
          <w:sz w:val="24"/>
          <w:szCs w:val="24"/>
        </w:rPr>
      </w:pPr>
      <w:r w:rsidRPr="00A21FDD">
        <w:rPr>
          <w:rFonts w:ascii="Georgia" w:hAnsi="Georgia"/>
          <w:sz w:val="24"/>
          <w:szCs w:val="24"/>
        </w:rPr>
        <w:t>FEDERAL ENERGY REGULATORY COMMISSION</w:t>
      </w:r>
    </w:p>
    <w:p w14:paraId="0116C77C" w14:textId="77777777" w:rsidR="0063532A" w:rsidRPr="00A21FDD" w:rsidRDefault="0063532A" w:rsidP="0063532A">
      <w:pPr>
        <w:rPr>
          <w:rFonts w:ascii="Georgia" w:hAnsi="Georgia"/>
          <w:sz w:val="24"/>
          <w:szCs w:val="24"/>
        </w:rPr>
      </w:pPr>
    </w:p>
    <w:p w14:paraId="61EF8A3B" w14:textId="77777777" w:rsidR="0063532A" w:rsidRDefault="0063532A" w:rsidP="0063532A">
      <w:pPr>
        <w:rPr>
          <w:rFonts w:ascii="Georgia" w:hAnsi="Georgia"/>
          <w:sz w:val="24"/>
          <w:szCs w:val="24"/>
        </w:rPr>
      </w:pPr>
      <w:r w:rsidRPr="000C1384">
        <w:rPr>
          <w:rFonts w:ascii="Georgia" w:hAnsi="Georgia"/>
          <w:sz w:val="24"/>
          <w:szCs w:val="24"/>
        </w:rPr>
        <w:t>Jersey Central Power &amp; Light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Docket Nos.</w:t>
      </w:r>
      <w:r>
        <w:rPr>
          <w:rFonts w:ascii="Georgia" w:hAnsi="Georgia"/>
          <w:sz w:val="24"/>
          <w:szCs w:val="24"/>
        </w:rPr>
        <w:tab/>
      </w:r>
      <w:r w:rsidRPr="000C1384">
        <w:rPr>
          <w:rFonts w:ascii="Georgia" w:hAnsi="Georgia"/>
          <w:sz w:val="24"/>
          <w:szCs w:val="24"/>
        </w:rPr>
        <w:t>ER10-1451-006</w:t>
      </w:r>
    </w:p>
    <w:p w14:paraId="3D96DD64" w14:textId="77777777" w:rsidR="0063532A" w:rsidRDefault="0063532A" w:rsidP="0063532A">
      <w:pPr>
        <w:rPr>
          <w:rFonts w:ascii="Georgia" w:hAnsi="Georgia"/>
          <w:sz w:val="24"/>
          <w:szCs w:val="24"/>
        </w:rPr>
      </w:pPr>
      <w:r w:rsidRPr="00F458FF">
        <w:rPr>
          <w:rFonts w:ascii="Georgia" w:hAnsi="Georgia"/>
          <w:sz w:val="24"/>
          <w:szCs w:val="24"/>
        </w:rPr>
        <w:t>Ohio Edison Company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3B43FC">
        <w:rPr>
          <w:rFonts w:ascii="Georgia" w:hAnsi="Georgia"/>
          <w:sz w:val="24"/>
          <w:szCs w:val="24"/>
        </w:rPr>
        <w:t>ER10-1467-007</w:t>
      </w:r>
    </w:p>
    <w:p w14:paraId="5FB8101B" w14:textId="77777777" w:rsidR="0063532A" w:rsidRDefault="0063532A" w:rsidP="0063532A">
      <w:pPr>
        <w:rPr>
          <w:rFonts w:ascii="Georgia" w:hAnsi="Georgia"/>
          <w:sz w:val="24"/>
          <w:szCs w:val="24"/>
        </w:rPr>
      </w:pPr>
      <w:r w:rsidRPr="00341F1D">
        <w:rPr>
          <w:rFonts w:ascii="Georgia" w:hAnsi="Georgia"/>
          <w:sz w:val="24"/>
          <w:szCs w:val="24"/>
        </w:rPr>
        <w:t>The Toledo Edison Company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D16D7B">
        <w:rPr>
          <w:rFonts w:ascii="Georgia" w:hAnsi="Georgia"/>
          <w:sz w:val="24"/>
          <w:szCs w:val="24"/>
        </w:rPr>
        <w:t>ER10-1468-007</w:t>
      </w:r>
    </w:p>
    <w:p w14:paraId="334EC04A" w14:textId="77777777" w:rsidR="0063532A" w:rsidRDefault="0063532A" w:rsidP="0063532A">
      <w:pPr>
        <w:rPr>
          <w:rFonts w:ascii="Georgia" w:hAnsi="Georgia"/>
          <w:sz w:val="24"/>
          <w:szCs w:val="24"/>
        </w:rPr>
      </w:pPr>
      <w:r w:rsidRPr="00A83B19">
        <w:rPr>
          <w:rFonts w:ascii="Georgia" w:hAnsi="Georgia"/>
          <w:sz w:val="24"/>
          <w:szCs w:val="24"/>
        </w:rPr>
        <w:t>The Cleveland Electric Illuminating Company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C92C68">
        <w:rPr>
          <w:rFonts w:ascii="Georgia" w:hAnsi="Georgia"/>
          <w:sz w:val="24"/>
          <w:szCs w:val="24"/>
        </w:rPr>
        <w:t>ER10-1469-007</w:t>
      </w:r>
    </w:p>
    <w:p w14:paraId="6F33A09C" w14:textId="77777777" w:rsidR="0063532A" w:rsidRDefault="0063532A" w:rsidP="0063532A">
      <w:pPr>
        <w:rPr>
          <w:rFonts w:ascii="Georgia" w:hAnsi="Georgia"/>
          <w:sz w:val="24"/>
          <w:szCs w:val="24"/>
        </w:rPr>
      </w:pPr>
      <w:r w:rsidRPr="000F2DE0">
        <w:rPr>
          <w:rFonts w:ascii="Georgia" w:hAnsi="Georgia"/>
          <w:sz w:val="24"/>
          <w:szCs w:val="24"/>
        </w:rPr>
        <w:t>Pennsylvania Power Company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3A6CD8">
        <w:rPr>
          <w:rFonts w:ascii="Georgia" w:hAnsi="Georgia"/>
          <w:sz w:val="24"/>
          <w:szCs w:val="24"/>
        </w:rPr>
        <w:t>ER10-1473-006</w:t>
      </w:r>
    </w:p>
    <w:p w14:paraId="2AA576B0" w14:textId="77777777" w:rsidR="0063532A" w:rsidRDefault="0063532A" w:rsidP="0063532A">
      <w:pPr>
        <w:rPr>
          <w:rFonts w:ascii="Georgia" w:hAnsi="Georgia"/>
          <w:sz w:val="24"/>
          <w:szCs w:val="24"/>
        </w:rPr>
      </w:pPr>
      <w:r w:rsidRPr="00642A61">
        <w:rPr>
          <w:rFonts w:ascii="Georgia" w:hAnsi="Georgia"/>
          <w:sz w:val="24"/>
          <w:szCs w:val="24"/>
        </w:rPr>
        <w:t>Metropolitan Edison Company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A54038">
        <w:rPr>
          <w:rFonts w:ascii="Georgia" w:hAnsi="Georgia"/>
          <w:sz w:val="24"/>
          <w:szCs w:val="24"/>
        </w:rPr>
        <w:t>ER10-1474-006</w:t>
      </w:r>
    </w:p>
    <w:p w14:paraId="28C6F4B6" w14:textId="77777777" w:rsidR="0063532A" w:rsidRDefault="0063532A" w:rsidP="0063532A">
      <w:pPr>
        <w:rPr>
          <w:rFonts w:ascii="Georgia" w:hAnsi="Georgia"/>
          <w:sz w:val="24"/>
          <w:szCs w:val="24"/>
        </w:rPr>
      </w:pPr>
      <w:r w:rsidRPr="00CC1CB7">
        <w:rPr>
          <w:rFonts w:ascii="Georgia" w:hAnsi="Georgia"/>
          <w:sz w:val="24"/>
          <w:szCs w:val="24"/>
        </w:rPr>
        <w:t>Pennsylvania Electric Company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8B437B">
        <w:rPr>
          <w:rFonts w:ascii="Georgia" w:hAnsi="Georgia"/>
          <w:sz w:val="24"/>
          <w:szCs w:val="24"/>
        </w:rPr>
        <w:t>ER10-1478-008</w:t>
      </w:r>
    </w:p>
    <w:p w14:paraId="73A6BB7D" w14:textId="77777777" w:rsidR="0063532A" w:rsidRDefault="0063532A" w:rsidP="0063532A">
      <w:pPr>
        <w:rPr>
          <w:rFonts w:ascii="Georgia" w:hAnsi="Georgia"/>
          <w:sz w:val="24"/>
          <w:szCs w:val="24"/>
        </w:rPr>
      </w:pPr>
      <w:r w:rsidRPr="00337AA7">
        <w:rPr>
          <w:rFonts w:ascii="Georgia" w:hAnsi="Georgia"/>
          <w:sz w:val="24"/>
          <w:szCs w:val="24"/>
        </w:rPr>
        <w:t>Monongahela Power Company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63388A">
        <w:rPr>
          <w:rFonts w:ascii="Georgia" w:hAnsi="Georgia"/>
          <w:sz w:val="24"/>
          <w:szCs w:val="24"/>
        </w:rPr>
        <w:t>ER10-2687-006</w:t>
      </w:r>
    </w:p>
    <w:p w14:paraId="5E738E4A" w14:textId="77777777" w:rsidR="0063532A" w:rsidRDefault="0063532A" w:rsidP="0063532A">
      <w:pPr>
        <w:rPr>
          <w:rFonts w:ascii="Georgia" w:hAnsi="Georgia"/>
          <w:sz w:val="24"/>
          <w:szCs w:val="24"/>
        </w:rPr>
      </w:pPr>
      <w:r w:rsidRPr="00A21FDD">
        <w:rPr>
          <w:rFonts w:ascii="Georgia" w:hAnsi="Georgia"/>
          <w:sz w:val="24"/>
          <w:szCs w:val="24"/>
        </w:rPr>
        <w:t xml:space="preserve">The Potomac Edison Company </w:t>
      </w:r>
      <w:r w:rsidRPr="00A21FDD">
        <w:rPr>
          <w:rFonts w:ascii="Georgia" w:hAnsi="Georgia"/>
          <w:sz w:val="24"/>
          <w:szCs w:val="24"/>
        </w:rPr>
        <w:tab/>
      </w:r>
      <w:r w:rsidRPr="00A21FDD">
        <w:rPr>
          <w:rFonts w:ascii="Georgia" w:hAnsi="Georgia"/>
          <w:sz w:val="24"/>
          <w:szCs w:val="24"/>
        </w:rPr>
        <w:tab/>
      </w:r>
      <w:r w:rsidRPr="00A21FDD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A21FDD">
        <w:rPr>
          <w:rFonts w:ascii="Georgia" w:hAnsi="Georgia"/>
          <w:sz w:val="24"/>
          <w:szCs w:val="24"/>
        </w:rPr>
        <w:t>ER10-2688-009</w:t>
      </w:r>
    </w:p>
    <w:p w14:paraId="12268BAC" w14:textId="77777777" w:rsidR="0063532A" w:rsidRDefault="0063532A" w:rsidP="0063532A">
      <w:pPr>
        <w:rPr>
          <w:rFonts w:ascii="Georgia" w:hAnsi="Georgia"/>
          <w:sz w:val="24"/>
          <w:szCs w:val="24"/>
        </w:rPr>
      </w:pPr>
      <w:r w:rsidRPr="005F26A2">
        <w:rPr>
          <w:rFonts w:ascii="Georgia" w:hAnsi="Georgia"/>
          <w:sz w:val="24"/>
          <w:szCs w:val="24"/>
        </w:rPr>
        <w:t>West Penn Power Company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5D792A">
        <w:rPr>
          <w:rFonts w:ascii="Georgia" w:hAnsi="Georgia"/>
          <w:sz w:val="24"/>
          <w:szCs w:val="24"/>
        </w:rPr>
        <w:t>ER10-2689-009</w:t>
      </w:r>
    </w:p>
    <w:p w14:paraId="6BC8F057" w14:textId="77777777" w:rsidR="0063532A" w:rsidRDefault="0063532A" w:rsidP="0063532A">
      <w:pPr>
        <w:rPr>
          <w:rFonts w:ascii="Georgia" w:hAnsi="Georgia"/>
          <w:sz w:val="24"/>
          <w:szCs w:val="24"/>
        </w:rPr>
      </w:pPr>
      <w:r w:rsidRPr="002932BF">
        <w:rPr>
          <w:rFonts w:ascii="Georgia" w:hAnsi="Georgia"/>
          <w:sz w:val="24"/>
          <w:szCs w:val="24"/>
        </w:rPr>
        <w:t>Green Valley Hydro, LLC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031BCF">
        <w:rPr>
          <w:rFonts w:ascii="Georgia" w:hAnsi="Georgia"/>
          <w:sz w:val="24"/>
          <w:szCs w:val="24"/>
        </w:rPr>
        <w:t>ER10-2728-008</w:t>
      </w:r>
    </w:p>
    <w:p w14:paraId="16B935EA" w14:textId="77777777" w:rsidR="0063532A" w:rsidRPr="00A21FDD" w:rsidRDefault="0063532A" w:rsidP="0063532A">
      <w:pPr>
        <w:rPr>
          <w:rFonts w:ascii="Georgia" w:hAnsi="Georgia"/>
          <w:sz w:val="24"/>
          <w:szCs w:val="24"/>
        </w:rPr>
      </w:pPr>
      <w:r w:rsidRPr="00A109A1">
        <w:rPr>
          <w:rFonts w:ascii="Georgia" w:hAnsi="Georgia"/>
          <w:sz w:val="24"/>
          <w:szCs w:val="24"/>
        </w:rPr>
        <w:t>Allegheny Energy Supply Company, LLC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E12F55">
        <w:rPr>
          <w:rFonts w:ascii="Georgia" w:hAnsi="Georgia"/>
          <w:sz w:val="24"/>
          <w:szCs w:val="24"/>
        </w:rPr>
        <w:t>ER12-273-002</w:t>
      </w:r>
    </w:p>
    <w:p w14:paraId="5A5612AB" w14:textId="77777777" w:rsidR="0063532A" w:rsidRDefault="0063532A" w:rsidP="0063532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[Not Consolidated]</w:t>
      </w:r>
    </w:p>
    <w:p w14:paraId="740B9C73" w14:textId="77777777" w:rsidR="00911AE9" w:rsidRPr="00911AE9" w:rsidRDefault="00911AE9" w:rsidP="0063532A">
      <w:pPr>
        <w:rPr>
          <w:rFonts w:ascii="Georgia" w:hAnsi="Georgia"/>
          <w:sz w:val="24"/>
          <w:szCs w:val="24"/>
        </w:rPr>
      </w:pPr>
    </w:p>
    <w:p w14:paraId="0EEE75F1" w14:textId="563A231F" w:rsidR="00A878D6" w:rsidRPr="0045191F" w:rsidRDefault="00940B20" w:rsidP="0045191F">
      <w:pPr>
        <w:jc w:val="center"/>
        <w:rPr>
          <w:rFonts w:ascii="Georgia" w:hAnsi="Georgia"/>
          <w:b/>
          <w:bCs/>
          <w:sz w:val="24"/>
          <w:szCs w:val="24"/>
        </w:rPr>
      </w:pPr>
      <w:r w:rsidRPr="0045191F">
        <w:rPr>
          <w:rFonts w:ascii="Georgia" w:hAnsi="Georgia"/>
          <w:b/>
          <w:bCs/>
          <w:sz w:val="24"/>
          <w:szCs w:val="24"/>
        </w:rPr>
        <w:t>Motion</w:t>
      </w:r>
      <w:r w:rsidR="0095283F" w:rsidRPr="0045191F">
        <w:rPr>
          <w:rFonts w:ascii="Georgia" w:hAnsi="Georgia"/>
          <w:b/>
          <w:bCs/>
          <w:sz w:val="24"/>
          <w:szCs w:val="24"/>
        </w:rPr>
        <w:t xml:space="preserve"> of Public Citizen</w:t>
      </w:r>
      <w:r w:rsidR="002E6A32" w:rsidRPr="0045191F">
        <w:rPr>
          <w:rFonts w:ascii="Georgia" w:hAnsi="Georgia"/>
          <w:b/>
          <w:bCs/>
          <w:sz w:val="24"/>
          <w:szCs w:val="24"/>
        </w:rPr>
        <w:t xml:space="preserve"> and Citizens Utility Board of Ohio</w:t>
      </w:r>
      <w:r w:rsidR="00C25616">
        <w:rPr>
          <w:rFonts w:ascii="Georgia" w:hAnsi="Georgia"/>
          <w:b/>
          <w:bCs/>
          <w:sz w:val="24"/>
          <w:szCs w:val="24"/>
        </w:rPr>
        <w:t xml:space="preserve"> </w:t>
      </w:r>
      <w:proofErr w:type="gramStart"/>
      <w:r w:rsidR="002F7D28">
        <w:rPr>
          <w:rFonts w:ascii="Georgia" w:hAnsi="Georgia"/>
          <w:b/>
          <w:bCs/>
          <w:sz w:val="24"/>
          <w:szCs w:val="24"/>
        </w:rPr>
        <w:t>For</w:t>
      </w:r>
      <w:proofErr w:type="gramEnd"/>
      <w:r w:rsidR="004C626D">
        <w:rPr>
          <w:rFonts w:ascii="Georgia" w:hAnsi="Georgia"/>
          <w:b/>
          <w:bCs/>
          <w:sz w:val="24"/>
          <w:szCs w:val="24"/>
        </w:rPr>
        <w:t xml:space="preserve"> </w:t>
      </w:r>
      <w:r w:rsidR="004F1FEC">
        <w:rPr>
          <w:rFonts w:ascii="Georgia" w:hAnsi="Georgia"/>
          <w:b/>
          <w:bCs/>
          <w:sz w:val="24"/>
          <w:szCs w:val="24"/>
        </w:rPr>
        <w:t>Expedited</w:t>
      </w:r>
      <w:r w:rsidR="004C626D">
        <w:rPr>
          <w:rFonts w:ascii="Georgia" w:hAnsi="Georgia"/>
          <w:b/>
          <w:bCs/>
          <w:sz w:val="24"/>
          <w:szCs w:val="24"/>
        </w:rPr>
        <w:t xml:space="preserve"> Action To Determine Carl Icahn and Blackstone Are Affiliates of FirstEnergy</w:t>
      </w:r>
    </w:p>
    <w:p w14:paraId="3B708F4E" w14:textId="77777777" w:rsidR="00712C50" w:rsidRPr="00911AE9" w:rsidRDefault="00712C50">
      <w:pPr>
        <w:rPr>
          <w:rFonts w:ascii="Georgia" w:hAnsi="Georgia"/>
          <w:sz w:val="24"/>
          <w:szCs w:val="24"/>
        </w:rPr>
      </w:pPr>
    </w:p>
    <w:p w14:paraId="33A01A27" w14:textId="79EF7962" w:rsidR="002B70A6" w:rsidRDefault="008E0F0E" w:rsidP="00345576">
      <w:pPr>
        <w:spacing w:line="360" w:lineRule="auto"/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 recent Commission order </w:t>
      </w:r>
      <w:r w:rsidR="008C67AE">
        <w:rPr>
          <w:rFonts w:ascii="Georgia" w:hAnsi="Georgia"/>
          <w:sz w:val="24"/>
          <w:szCs w:val="24"/>
        </w:rPr>
        <w:t xml:space="preserve">establishes </w:t>
      </w:r>
      <w:proofErr w:type="gramStart"/>
      <w:r w:rsidR="008C67AE">
        <w:rPr>
          <w:rFonts w:ascii="Georgia" w:hAnsi="Georgia"/>
          <w:sz w:val="24"/>
          <w:szCs w:val="24"/>
        </w:rPr>
        <w:t>new</w:t>
      </w:r>
      <w:proofErr w:type="gramEnd"/>
      <w:r w:rsidR="008C67AE">
        <w:rPr>
          <w:rFonts w:ascii="Georgia" w:hAnsi="Georgia"/>
          <w:sz w:val="24"/>
          <w:szCs w:val="24"/>
        </w:rPr>
        <w:t xml:space="preserve"> precedent on affiliation of investors </w:t>
      </w:r>
      <w:r w:rsidR="00DF6CC9">
        <w:rPr>
          <w:rFonts w:ascii="Georgia" w:hAnsi="Georgia"/>
          <w:sz w:val="24"/>
          <w:szCs w:val="24"/>
        </w:rPr>
        <w:t>that have officers on a utility’s board of directors</w:t>
      </w:r>
      <w:r w:rsidR="00125F64">
        <w:rPr>
          <w:rFonts w:ascii="Georgia" w:hAnsi="Georgia"/>
          <w:sz w:val="24"/>
          <w:szCs w:val="24"/>
        </w:rPr>
        <w:t xml:space="preserve">, </w:t>
      </w:r>
      <w:r w:rsidR="008422B7">
        <w:rPr>
          <w:rFonts w:ascii="Georgia" w:hAnsi="Georgia"/>
          <w:sz w:val="24"/>
          <w:szCs w:val="24"/>
        </w:rPr>
        <w:t>which</w:t>
      </w:r>
      <w:r w:rsidR="00125F64">
        <w:rPr>
          <w:rFonts w:ascii="Georgia" w:hAnsi="Georgia"/>
          <w:sz w:val="24"/>
          <w:szCs w:val="24"/>
        </w:rPr>
        <w:t xml:space="preserve"> has direct impact on this proceeding.</w:t>
      </w:r>
    </w:p>
    <w:p w14:paraId="0C0161C9" w14:textId="117F4C2D" w:rsidR="0045191F" w:rsidRDefault="0045191F" w:rsidP="00345576">
      <w:pPr>
        <w:spacing w:line="360" w:lineRule="auto"/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Commission’s </w:t>
      </w:r>
      <w:r w:rsidR="00CF18BD">
        <w:rPr>
          <w:rFonts w:ascii="Georgia" w:hAnsi="Georgia"/>
          <w:sz w:val="24"/>
          <w:szCs w:val="24"/>
        </w:rPr>
        <w:t xml:space="preserve">October </w:t>
      </w:r>
      <w:r w:rsidR="00D45F76">
        <w:rPr>
          <w:rFonts w:ascii="Georgia" w:hAnsi="Georgia"/>
          <w:sz w:val="24"/>
          <w:szCs w:val="24"/>
        </w:rPr>
        <w:t xml:space="preserve">20, </w:t>
      </w:r>
      <w:proofErr w:type="gramStart"/>
      <w:r w:rsidR="00D45F76">
        <w:rPr>
          <w:rFonts w:ascii="Georgia" w:hAnsi="Georgia"/>
          <w:sz w:val="24"/>
          <w:szCs w:val="24"/>
        </w:rPr>
        <w:t>2022</w:t>
      </w:r>
      <w:proofErr w:type="gramEnd"/>
      <w:r w:rsidR="00D45F76">
        <w:rPr>
          <w:rFonts w:ascii="Georgia" w:hAnsi="Georgia"/>
          <w:sz w:val="24"/>
          <w:szCs w:val="24"/>
        </w:rPr>
        <w:t xml:space="preserve"> </w:t>
      </w:r>
      <w:r w:rsidR="00D45F76" w:rsidRPr="00D10204">
        <w:rPr>
          <w:rFonts w:ascii="Georgia" w:hAnsi="Georgia"/>
          <w:i/>
          <w:iCs/>
          <w:sz w:val="24"/>
          <w:szCs w:val="24"/>
        </w:rPr>
        <w:t xml:space="preserve">Order on Notice of Change In Status re </w:t>
      </w:r>
      <w:proofErr w:type="spellStart"/>
      <w:r w:rsidR="00D45F76" w:rsidRPr="00D10204">
        <w:rPr>
          <w:rFonts w:ascii="Georgia" w:hAnsi="Georgia"/>
          <w:i/>
          <w:iCs/>
          <w:sz w:val="24"/>
          <w:szCs w:val="24"/>
        </w:rPr>
        <w:t>Evergy</w:t>
      </w:r>
      <w:proofErr w:type="spellEnd"/>
      <w:r w:rsidR="00D45F76" w:rsidRPr="00D10204">
        <w:rPr>
          <w:rFonts w:ascii="Georgia" w:hAnsi="Georgia"/>
          <w:i/>
          <w:iCs/>
          <w:sz w:val="24"/>
          <w:szCs w:val="24"/>
        </w:rPr>
        <w:t xml:space="preserve"> Kansas Central, Inc. et al</w:t>
      </w:r>
      <w:r w:rsidR="00D45F76">
        <w:rPr>
          <w:rFonts w:ascii="Georgia" w:hAnsi="Georgia"/>
          <w:sz w:val="24"/>
          <w:szCs w:val="24"/>
        </w:rPr>
        <w:t xml:space="preserve"> determined that</w:t>
      </w:r>
      <w:r w:rsidR="00F92174">
        <w:rPr>
          <w:rFonts w:ascii="Georgia" w:hAnsi="Georgia"/>
          <w:sz w:val="24"/>
          <w:szCs w:val="24"/>
        </w:rPr>
        <w:t xml:space="preserve"> a hedge fund that owns less than 10% of the utility’s voting shares is deemed affiliated with the utility because </w:t>
      </w:r>
      <w:r w:rsidR="00AA71C1">
        <w:rPr>
          <w:rFonts w:ascii="Georgia" w:hAnsi="Georgia"/>
          <w:sz w:val="24"/>
          <w:szCs w:val="24"/>
        </w:rPr>
        <w:t>the “</w:t>
      </w:r>
      <w:r w:rsidR="00AA71C1" w:rsidRPr="00AA71C1">
        <w:rPr>
          <w:rFonts w:ascii="Georgia" w:hAnsi="Georgia"/>
          <w:sz w:val="24"/>
          <w:szCs w:val="24"/>
        </w:rPr>
        <w:t>investor’s own officer or director</w:t>
      </w:r>
      <w:r w:rsidR="00AA71C1">
        <w:rPr>
          <w:rFonts w:ascii="Georgia" w:hAnsi="Georgia"/>
          <w:sz w:val="24"/>
          <w:szCs w:val="24"/>
        </w:rPr>
        <w:t>” serves on the utility’s board of directors.</w:t>
      </w:r>
      <w:r w:rsidR="00536208">
        <w:rPr>
          <w:rStyle w:val="FootnoteReference"/>
          <w:rFonts w:ascii="Georgia" w:hAnsi="Georgia"/>
          <w:sz w:val="24"/>
          <w:szCs w:val="24"/>
        </w:rPr>
        <w:footnoteReference w:id="1"/>
      </w:r>
    </w:p>
    <w:p w14:paraId="0BD311BA" w14:textId="6AE32AC0" w:rsidR="00EF528A" w:rsidRDefault="00D10204" w:rsidP="00345576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791D80">
        <w:rPr>
          <w:rFonts w:ascii="Georgia" w:hAnsi="Georgia"/>
          <w:sz w:val="24"/>
          <w:szCs w:val="24"/>
        </w:rPr>
        <w:t>As has been demonstrated exhaustively in these and other proceedings, both Blackstone and affiliates of Carl Icahn</w:t>
      </w:r>
      <w:r w:rsidR="00410634">
        <w:rPr>
          <w:rFonts w:ascii="Georgia" w:hAnsi="Georgia"/>
          <w:sz w:val="24"/>
          <w:szCs w:val="24"/>
        </w:rPr>
        <w:t xml:space="preserve"> each control less than 10% of FirstEnergy’s voting shares but have their own officers on the utility’s board of directors.</w:t>
      </w:r>
    </w:p>
    <w:p w14:paraId="1C9E4479" w14:textId="17296942" w:rsidR="00EC3A32" w:rsidRDefault="00601F50" w:rsidP="00345576">
      <w:pPr>
        <w:spacing w:line="360" w:lineRule="auto"/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voting status of Carl Icahn’s two</w:t>
      </w:r>
      <w:r w:rsidR="00EC3A32">
        <w:rPr>
          <w:rFonts w:ascii="Georgia" w:hAnsi="Georgia"/>
          <w:sz w:val="24"/>
          <w:szCs w:val="24"/>
        </w:rPr>
        <w:t xml:space="preserve"> officers on FirstEnergy’s board of directors is immaterial to the Commission determining that Carl Icahn and </w:t>
      </w:r>
      <w:r w:rsidR="00BA4AF0">
        <w:rPr>
          <w:rFonts w:ascii="Georgia" w:hAnsi="Georgia"/>
          <w:sz w:val="24"/>
          <w:szCs w:val="24"/>
        </w:rPr>
        <w:t xml:space="preserve">his affiliates must be deemed to be affiliated with FirstEnergy. As the Commission concluded in </w:t>
      </w:r>
      <w:proofErr w:type="spellStart"/>
      <w:r w:rsidR="00BA4AF0" w:rsidRPr="00BA4AF0">
        <w:rPr>
          <w:rFonts w:ascii="Georgia" w:hAnsi="Georgia"/>
          <w:i/>
          <w:iCs/>
          <w:sz w:val="24"/>
          <w:szCs w:val="24"/>
        </w:rPr>
        <w:t>Evergy</w:t>
      </w:r>
      <w:proofErr w:type="spellEnd"/>
      <w:r w:rsidR="00BA4AF0">
        <w:rPr>
          <w:rFonts w:ascii="Georgia" w:hAnsi="Georgia"/>
          <w:sz w:val="24"/>
          <w:szCs w:val="24"/>
        </w:rPr>
        <w:t xml:space="preserve">, </w:t>
      </w:r>
      <w:r w:rsidR="002D7D8C">
        <w:rPr>
          <w:rFonts w:ascii="Georgia" w:hAnsi="Georgia"/>
          <w:sz w:val="24"/>
          <w:szCs w:val="24"/>
        </w:rPr>
        <w:t>“</w:t>
      </w:r>
      <w:r w:rsidR="002D7D8C" w:rsidRPr="002D7D8C">
        <w:rPr>
          <w:rFonts w:ascii="Georgia" w:hAnsi="Georgia"/>
          <w:sz w:val="24"/>
          <w:szCs w:val="24"/>
        </w:rPr>
        <w:t xml:space="preserve">Board membership confers rights, privileges, and access to non-public information, </w:t>
      </w:r>
      <w:r w:rsidR="002D7D8C" w:rsidRPr="002D7D8C">
        <w:rPr>
          <w:rFonts w:ascii="Georgia" w:hAnsi="Georgia"/>
          <w:sz w:val="24"/>
          <w:szCs w:val="24"/>
        </w:rPr>
        <w:lastRenderedPageBreak/>
        <w:t>including information on commercial strategy and operations.</w:t>
      </w:r>
      <w:r w:rsidR="00A6504C">
        <w:rPr>
          <w:rFonts w:ascii="Georgia" w:hAnsi="Georgia"/>
          <w:sz w:val="24"/>
          <w:szCs w:val="24"/>
        </w:rPr>
        <w:t>”</w:t>
      </w:r>
      <w:r w:rsidR="00A6504C">
        <w:rPr>
          <w:rStyle w:val="FootnoteReference"/>
          <w:rFonts w:ascii="Georgia" w:hAnsi="Georgia"/>
          <w:sz w:val="24"/>
          <w:szCs w:val="24"/>
        </w:rPr>
        <w:footnoteReference w:id="2"/>
      </w:r>
      <w:r w:rsidR="00A6504C">
        <w:rPr>
          <w:rFonts w:ascii="Georgia" w:hAnsi="Georgia"/>
          <w:sz w:val="24"/>
          <w:szCs w:val="24"/>
        </w:rPr>
        <w:t xml:space="preserve"> These rights convey to Carl Icahn’s officers regardless of whether they are currently able to vote or not. In fact, </w:t>
      </w:r>
      <w:r w:rsidR="006D56B5">
        <w:rPr>
          <w:rFonts w:ascii="Georgia" w:hAnsi="Georgia"/>
          <w:sz w:val="24"/>
          <w:szCs w:val="24"/>
        </w:rPr>
        <w:t xml:space="preserve">regardless of whether Icahn’s two officers on FirstEnergy’s board of directors </w:t>
      </w:r>
      <w:proofErr w:type="gramStart"/>
      <w:r w:rsidR="006D56B5">
        <w:rPr>
          <w:rFonts w:ascii="Georgia" w:hAnsi="Georgia"/>
          <w:sz w:val="24"/>
          <w:szCs w:val="24"/>
        </w:rPr>
        <w:t>having voting authority yet</w:t>
      </w:r>
      <w:proofErr w:type="gramEnd"/>
      <w:r w:rsidR="006D56B5">
        <w:rPr>
          <w:rFonts w:ascii="Georgia" w:hAnsi="Georgia"/>
          <w:sz w:val="24"/>
          <w:szCs w:val="24"/>
        </w:rPr>
        <w:t>, they are active participants in all board actions―including the active search by the board for a new CEO.</w:t>
      </w:r>
      <w:r w:rsidR="0092260E">
        <w:rPr>
          <w:rStyle w:val="FootnoteReference"/>
          <w:rFonts w:ascii="Georgia" w:hAnsi="Georgia"/>
          <w:sz w:val="24"/>
          <w:szCs w:val="24"/>
        </w:rPr>
        <w:footnoteReference w:id="3"/>
      </w:r>
      <w:r w:rsidR="00FB508C">
        <w:rPr>
          <w:rFonts w:ascii="Georgia" w:hAnsi="Georgia"/>
          <w:sz w:val="24"/>
          <w:szCs w:val="24"/>
        </w:rPr>
        <w:t xml:space="preserve"> As has been reported: “</w:t>
      </w:r>
      <w:r w:rsidR="00FB508C" w:rsidRPr="00FB508C">
        <w:rPr>
          <w:rFonts w:ascii="Georgia" w:hAnsi="Georgia"/>
          <w:sz w:val="24"/>
          <w:szCs w:val="24"/>
        </w:rPr>
        <w:t xml:space="preserve">For billionaire investor Carl Icahn, 4 percent of a company isn’t just a sizable stake. It’s a </w:t>
      </w:r>
      <w:proofErr w:type="gramStart"/>
      <w:r w:rsidR="00FB508C" w:rsidRPr="00FB508C">
        <w:rPr>
          <w:rFonts w:ascii="Georgia" w:hAnsi="Georgia"/>
          <w:sz w:val="24"/>
          <w:szCs w:val="24"/>
        </w:rPr>
        <w:t>sledge hammer</w:t>
      </w:r>
      <w:proofErr w:type="gramEnd"/>
      <w:r w:rsidR="00FB508C" w:rsidRPr="00FB508C">
        <w:rPr>
          <w:rFonts w:ascii="Georgia" w:hAnsi="Georgia"/>
          <w:sz w:val="24"/>
          <w:szCs w:val="24"/>
        </w:rPr>
        <w:t xml:space="preserve"> and a crowbar, combined.</w:t>
      </w:r>
      <w:r w:rsidR="00FB508C">
        <w:rPr>
          <w:rFonts w:ascii="Georgia" w:hAnsi="Georgia"/>
          <w:sz w:val="24"/>
          <w:szCs w:val="24"/>
        </w:rPr>
        <w:t>”</w:t>
      </w:r>
      <w:r w:rsidR="00BA65AE">
        <w:rPr>
          <w:rStyle w:val="FootnoteReference"/>
          <w:rFonts w:ascii="Georgia" w:hAnsi="Georgia"/>
          <w:sz w:val="24"/>
          <w:szCs w:val="24"/>
        </w:rPr>
        <w:footnoteReference w:id="4"/>
      </w:r>
    </w:p>
    <w:p w14:paraId="2DFBFB57" w14:textId="37EF7887" w:rsidR="006D56B5" w:rsidRDefault="00BF6886" w:rsidP="00345576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proofErr w:type="gramStart"/>
      <w:r w:rsidR="0049028D">
        <w:rPr>
          <w:rFonts w:ascii="Georgia" w:hAnsi="Georgia"/>
          <w:sz w:val="24"/>
          <w:szCs w:val="24"/>
        </w:rPr>
        <w:t>In light of</w:t>
      </w:r>
      <w:proofErr w:type="gramEnd"/>
      <w:r w:rsidR="0049028D">
        <w:rPr>
          <w:rFonts w:ascii="Georgia" w:hAnsi="Georgia"/>
          <w:sz w:val="24"/>
          <w:szCs w:val="24"/>
        </w:rPr>
        <w:t xml:space="preserve"> Blackstone and Carl Icahn officers playing an active role in</w:t>
      </w:r>
      <w:r w:rsidR="00AF2854">
        <w:rPr>
          <w:rFonts w:ascii="Georgia" w:hAnsi="Georgia"/>
          <w:sz w:val="24"/>
          <w:szCs w:val="24"/>
        </w:rPr>
        <w:t xml:space="preserve"> selecting FirstEnergy’s next CEO, we request expedited action for the Commission </w:t>
      </w:r>
      <w:r w:rsidR="003A6528">
        <w:rPr>
          <w:rFonts w:ascii="Georgia" w:hAnsi="Georgia"/>
          <w:sz w:val="24"/>
          <w:szCs w:val="24"/>
        </w:rPr>
        <w:t>to determine that both Blackstone and Carl Icahn and his affiliates are affiliated with FirstEnergy Corp.</w:t>
      </w:r>
    </w:p>
    <w:p w14:paraId="1ED65F9E" w14:textId="77777777" w:rsidR="003A6528" w:rsidRDefault="003A6528" w:rsidP="00BF6886">
      <w:pPr>
        <w:rPr>
          <w:rFonts w:ascii="Georgia" w:hAnsi="Georgia"/>
          <w:sz w:val="24"/>
          <w:szCs w:val="24"/>
        </w:rPr>
      </w:pPr>
    </w:p>
    <w:p w14:paraId="3E379F13" w14:textId="289E8802" w:rsidR="003A6528" w:rsidRDefault="0077624E" w:rsidP="00937CF7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Respectfully submitted,</w:t>
      </w:r>
    </w:p>
    <w:p w14:paraId="47463B2E" w14:textId="77777777" w:rsidR="0077624E" w:rsidRDefault="0077624E" w:rsidP="00BF6886">
      <w:pPr>
        <w:rPr>
          <w:rFonts w:ascii="Georgia" w:hAnsi="Georgia"/>
          <w:sz w:val="24"/>
          <w:szCs w:val="24"/>
        </w:rPr>
      </w:pPr>
    </w:p>
    <w:p w14:paraId="31FC2581" w14:textId="77777777" w:rsidR="0077624E" w:rsidRDefault="0077624E" w:rsidP="00BF6886">
      <w:pPr>
        <w:rPr>
          <w:rFonts w:ascii="Georgia" w:hAnsi="Georgia"/>
          <w:sz w:val="24"/>
          <w:szCs w:val="24"/>
        </w:rPr>
      </w:pPr>
    </w:p>
    <w:p w14:paraId="1A213F26" w14:textId="0A1F19FB" w:rsidR="0077624E" w:rsidRPr="0077624E" w:rsidRDefault="0077624E" w:rsidP="0077624E">
      <w:pPr>
        <w:rPr>
          <w:rFonts w:ascii="Georgia" w:hAnsi="Georgia"/>
          <w:sz w:val="24"/>
          <w:szCs w:val="24"/>
        </w:rPr>
      </w:pPr>
      <w:r w:rsidRPr="0077624E">
        <w:rPr>
          <w:rFonts w:ascii="Georgia" w:hAnsi="Georgia"/>
          <w:sz w:val="24"/>
          <w:szCs w:val="24"/>
        </w:rPr>
        <w:t xml:space="preserve">Tyson Slocum, Energy Program Director </w:t>
      </w:r>
      <w:r>
        <w:rPr>
          <w:rFonts w:ascii="Georgia" w:hAnsi="Georgia"/>
          <w:sz w:val="24"/>
          <w:szCs w:val="24"/>
        </w:rPr>
        <w:tab/>
      </w:r>
      <w:r w:rsidRPr="0077624E">
        <w:rPr>
          <w:rFonts w:ascii="Georgia" w:hAnsi="Georgia"/>
          <w:sz w:val="24"/>
          <w:szCs w:val="24"/>
        </w:rPr>
        <w:t>Tom Bullock, Executive Director</w:t>
      </w:r>
    </w:p>
    <w:p w14:paraId="088041D7" w14:textId="2D5754E6" w:rsidR="0077624E" w:rsidRPr="0077624E" w:rsidRDefault="0077624E" w:rsidP="0077624E">
      <w:pPr>
        <w:rPr>
          <w:rFonts w:ascii="Georgia" w:hAnsi="Georgia"/>
          <w:sz w:val="24"/>
          <w:szCs w:val="24"/>
        </w:rPr>
      </w:pPr>
      <w:r w:rsidRPr="0077624E">
        <w:rPr>
          <w:rFonts w:ascii="Georgia" w:hAnsi="Georgia"/>
          <w:sz w:val="24"/>
          <w:szCs w:val="24"/>
        </w:rPr>
        <w:t xml:space="preserve">Public Citizen, Inc.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77624E">
        <w:rPr>
          <w:rFonts w:ascii="Georgia" w:hAnsi="Georgia"/>
          <w:sz w:val="24"/>
          <w:szCs w:val="24"/>
        </w:rPr>
        <w:t>Citizens Utility Board of Ohio</w:t>
      </w:r>
    </w:p>
    <w:p w14:paraId="3B6A8EF3" w14:textId="1A98BCA8" w:rsidR="0077624E" w:rsidRPr="0077624E" w:rsidRDefault="0077624E" w:rsidP="0077624E">
      <w:pPr>
        <w:rPr>
          <w:rFonts w:ascii="Georgia" w:hAnsi="Georgia"/>
          <w:sz w:val="24"/>
          <w:szCs w:val="24"/>
        </w:rPr>
      </w:pPr>
      <w:r w:rsidRPr="0077624E">
        <w:rPr>
          <w:rFonts w:ascii="Georgia" w:hAnsi="Georgia"/>
          <w:sz w:val="24"/>
          <w:szCs w:val="24"/>
        </w:rPr>
        <w:t xml:space="preserve">215 Pennsylvania Ave SE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77624E">
        <w:rPr>
          <w:rFonts w:ascii="Georgia" w:hAnsi="Georgia"/>
          <w:sz w:val="24"/>
          <w:szCs w:val="24"/>
        </w:rPr>
        <w:t>1145 Chesapeake Ave, Suite I</w:t>
      </w:r>
    </w:p>
    <w:p w14:paraId="01FAE2D0" w14:textId="0084B481" w:rsidR="0077624E" w:rsidRPr="0077624E" w:rsidRDefault="0077624E" w:rsidP="0077624E">
      <w:pPr>
        <w:rPr>
          <w:rFonts w:ascii="Georgia" w:hAnsi="Georgia"/>
          <w:sz w:val="24"/>
          <w:szCs w:val="24"/>
        </w:rPr>
      </w:pPr>
      <w:r w:rsidRPr="0077624E">
        <w:rPr>
          <w:rFonts w:ascii="Georgia" w:hAnsi="Georgia"/>
          <w:sz w:val="24"/>
          <w:szCs w:val="24"/>
        </w:rPr>
        <w:t xml:space="preserve">Washington, DC 20003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77624E">
        <w:rPr>
          <w:rFonts w:ascii="Georgia" w:hAnsi="Georgia"/>
          <w:sz w:val="24"/>
          <w:szCs w:val="24"/>
        </w:rPr>
        <w:t>Columbus, OH 43212</w:t>
      </w:r>
    </w:p>
    <w:p w14:paraId="10DBF392" w14:textId="6101AA24" w:rsidR="0077624E" w:rsidRPr="0077624E" w:rsidRDefault="0077624E" w:rsidP="0077624E">
      <w:pPr>
        <w:rPr>
          <w:rFonts w:ascii="Georgia" w:hAnsi="Georgia"/>
          <w:sz w:val="24"/>
          <w:szCs w:val="24"/>
        </w:rPr>
      </w:pPr>
      <w:r w:rsidRPr="0077624E">
        <w:rPr>
          <w:rFonts w:ascii="Georgia" w:hAnsi="Georgia"/>
          <w:sz w:val="24"/>
          <w:szCs w:val="24"/>
        </w:rPr>
        <w:t xml:space="preserve">(202) 454-5191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77624E">
        <w:rPr>
          <w:rFonts w:ascii="Georgia" w:hAnsi="Georgia"/>
          <w:sz w:val="24"/>
          <w:szCs w:val="24"/>
        </w:rPr>
        <w:t>(440) 554-7203</w:t>
      </w:r>
    </w:p>
    <w:p w14:paraId="39B23F35" w14:textId="230DB62B" w:rsidR="0077624E" w:rsidRDefault="00000000" w:rsidP="0077624E">
      <w:pPr>
        <w:rPr>
          <w:rFonts w:ascii="Georgia" w:hAnsi="Georgia"/>
          <w:sz w:val="24"/>
          <w:szCs w:val="24"/>
        </w:rPr>
      </w:pPr>
      <w:hyperlink r:id="rId7" w:history="1">
        <w:r w:rsidR="0077624E" w:rsidRPr="00345576">
          <w:rPr>
            <w:rStyle w:val="Hyperlink"/>
            <w:rFonts w:ascii="Georgia" w:hAnsi="Georgia"/>
            <w:color w:val="auto"/>
            <w:sz w:val="24"/>
            <w:szCs w:val="24"/>
            <w:u w:val="none"/>
          </w:rPr>
          <w:t>tslocum@citizen.org</w:t>
        </w:r>
      </w:hyperlink>
      <w:r w:rsidR="0077624E" w:rsidRPr="0077624E">
        <w:rPr>
          <w:rFonts w:ascii="Georgia" w:hAnsi="Georgia"/>
          <w:sz w:val="24"/>
          <w:szCs w:val="24"/>
        </w:rPr>
        <w:t xml:space="preserve"> </w:t>
      </w:r>
      <w:r w:rsidR="0077624E">
        <w:rPr>
          <w:rFonts w:ascii="Georgia" w:hAnsi="Georgia"/>
          <w:sz w:val="24"/>
          <w:szCs w:val="24"/>
        </w:rPr>
        <w:tab/>
      </w:r>
      <w:r w:rsidR="0077624E">
        <w:rPr>
          <w:rFonts w:ascii="Georgia" w:hAnsi="Georgia"/>
          <w:sz w:val="24"/>
          <w:szCs w:val="24"/>
        </w:rPr>
        <w:tab/>
      </w:r>
      <w:r w:rsidR="0077624E">
        <w:rPr>
          <w:rFonts w:ascii="Georgia" w:hAnsi="Georgia"/>
          <w:sz w:val="24"/>
          <w:szCs w:val="24"/>
        </w:rPr>
        <w:tab/>
      </w:r>
      <w:r w:rsidR="0077624E">
        <w:rPr>
          <w:rFonts w:ascii="Georgia" w:hAnsi="Georgia"/>
          <w:sz w:val="24"/>
          <w:szCs w:val="24"/>
        </w:rPr>
        <w:tab/>
      </w:r>
      <w:r w:rsidR="0077624E" w:rsidRPr="0077624E">
        <w:rPr>
          <w:rFonts w:ascii="Georgia" w:hAnsi="Georgia"/>
          <w:sz w:val="24"/>
          <w:szCs w:val="24"/>
        </w:rPr>
        <w:t>tbullock@cuboh.org</w:t>
      </w:r>
    </w:p>
    <w:p w14:paraId="4A3CD5CB" w14:textId="32306DCC" w:rsidR="00A878D6" w:rsidRPr="00911AE9" w:rsidRDefault="00A878D6" w:rsidP="00A878D6">
      <w:pPr>
        <w:rPr>
          <w:rFonts w:ascii="Georgia" w:hAnsi="Georgia"/>
          <w:sz w:val="24"/>
          <w:szCs w:val="24"/>
        </w:rPr>
      </w:pPr>
    </w:p>
    <w:sectPr w:rsidR="00A878D6" w:rsidRPr="00911AE9" w:rsidSect="00345576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CAE4" w14:textId="77777777" w:rsidR="006757D9" w:rsidRDefault="006757D9" w:rsidP="002B70A6">
      <w:r>
        <w:separator/>
      </w:r>
    </w:p>
  </w:endnote>
  <w:endnote w:type="continuationSeparator" w:id="0">
    <w:p w14:paraId="1890939F" w14:textId="77777777" w:rsidR="006757D9" w:rsidRDefault="006757D9" w:rsidP="002B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36533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712E581" w14:textId="137A48C8" w:rsidR="00345576" w:rsidRDefault="0034557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AD7FD0B" w14:textId="77777777" w:rsidR="00345576" w:rsidRDefault="00345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A4A1D" w14:textId="77777777" w:rsidR="006757D9" w:rsidRDefault="006757D9" w:rsidP="002B70A6">
      <w:r>
        <w:separator/>
      </w:r>
    </w:p>
  </w:footnote>
  <w:footnote w:type="continuationSeparator" w:id="0">
    <w:p w14:paraId="44301F84" w14:textId="77777777" w:rsidR="006757D9" w:rsidRDefault="006757D9" w:rsidP="002B70A6">
      <w:r>
        <w:continuationSeparator/>
      </w:r>
    </w:p>
  </w:footnote>
  <w:footnote w:id="1">
    <w:p w14:paraId="5B9A1D7B" w14:textId="633FD878" w:rsidR="00536208" w:rsidRDefault="005362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75520" w:rsidRPr="00D10204">
        <w:rPr>
          <w:rFonts w:ascii="Georgia" w:hAnsi="Georgia"/>
        </w:rPr>
        <w:t>At 44 and 45, 181 FERC ¶ 61,044, Docket Nos. ER20-67-001, ER20-113-001 and ER20-116-001, https://elibrary.ferc.gov/eLibrary/filelist?accession_num=20221020-3091</w:t>
      </w:r>
    </w:p>
  </w:footnote>
  <w:footnote w:id="2">
    <w:p w14:paraId="37F53B90" w14:textId="54BE1A2F" w:rsidR="00A6504C" w:rsidRDefault="00A6504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6504C">
        <w:rPr>
          <w:rFonts w:ascii="Georgia" w:hAnsi="Georgia"/>
        </w:rPr>
        <w:t>At 45.</w:t>
      </w:r>
    </w:p>
  </w:footnote>
  <w:footnote w:id="3">
    <w:p w14:paraId="13D27264" w14:textId="001DFBC0" w:rsidR="0092260E" w:rsidRDefault="009226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2260E">
        <w:rPr>
          <w:rFonts w:ascii="Georgia" w:hAnsi="Georgia"/>
        </w:rPr>
        <w:t>www.firstenergycorp.com/newsroom/news_articles/fe-announces-ceo-transition.html</w:t>
      </w:r>
    </w:p>
  </w:footnote>
  <w:footnote w:id="4">
    <w:p w14:paraId="2AB7C90B" w14:textId="160FD2DF" w:rsidR="00BA65AE" w:rsidRDefault="00BA65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A65AE">
        <w:rPr>
          <w:rFonts w:ascii="Georgia" w:hAnsi="Georgia"/>
        </w:rPr>
        <w:t xml:space="preserve">Brandon Bailey and Elise Ackerman, </w:t>
      </w:r>
      <w:r w:rsidR="00BF6886">
        <w:rPr>
          <w:rFonts w:ascii="Georgia" w:hAnsi="Georgia"/>
        </w:rPr>
        <w:t>“</w:t>
      </w:r>
      <w:r w:rsidRPr="00BA65AE">
        <w:rPr>
          <w:rFonts w:ascii="Georgia" w:hAnsi="Georgia"/>
        </w:rPr>
        <w:t>Canny and ruthless, Icahn lives to win,</w:t>
      </w:r>
      <w:r w:rsidR="00BF6886">
        <w:rPr>
          <w:rFonts w:ascii="Georgia" w:hAnsi="Georgia"/>
        </w:rPr>
        <w:t>”</w:t>
      </w:r>
      <w:r w:rsidRPr="00BA65AE">
        <w:rPr>
          <w:rFonts w:ascii="Georgia" w:hAnsi="Georgia"/>
        </w:rPr>
        <w:t xml:space="preserve"> </w:t>
      </w:r>
      <w:r w:rsidRPr="00BF6886">
        <w:rPr>
          <w:rFonts w:ascii="Georgia" w:hAnsi="Georgia"/>
          <w:i/>
          <w:iCs/>
        </w:rPr>
        <w:t>The Mercury News</w:t>
      </w:r>
      <w:r w:rsidRPr="00BA65AE">
        <w:rPr>
          <w:rFonts w:ascii="Georgia" w:hAnsi="Georgia"/>
        </w:rPr>
        <w:t>, May 24, 2008, www.mercurynews.com/2008/05/24/canny-and-ruthless-icahn-lives-to-win/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7B"/>
    <w:rsid w:val="00087FFB"/>
    <w:rsid w:val="000F4965"/>
    <w:rsid w:val="000F6EF2"/>
    <w:rsid w:val="00125F64"/>
    <w:rsid w:val="002A2FF7"/>
    <w:rsid w:val="002B70A6"/>
    <w:rsid w:val="002B7EDC"/>
    <w:rsid w:val="002D7D8C"/>
    <w:rsid w:val="002E6A32"/>
    <w:rsid w:val="002F7D28"/>
    <w:rsid w:val="00327CF1"/>
    <w:rsid w:val="00345576"/>
    <w:rsid w:val="003A6528"/>
    <w:rsid w:val="003F5466"/>
    <w:rsid w:val="00410634"/>
    <w:rsid w:val="0045191F"/>
    <w:rsid w:val="0049028D"/>
    <w:rsid w:val="004C626D"/>
    <w:rsid w:val="004D337B"/>
    <w:rsid w:val="004F1FEC"/>
    <w:rsid w:val="0053180B"/>
    <w:rsid w:val="00536208"/>
    <w:rsid w:val="005E6C14"/>
    <w:rsid w:val="00601F50"/>
    <w:rsid w:val="006032BA"/>
    <w:rsid w:val="0063532A"/>
    <w:rsid w:val="006443BB"/>
    <w:rsid w:val="006757D9"/>
    <w:rsid w:val="006B7B3E"/>
    <w:rsid w:val="006D49C5"/>
    <w:rsid w:val="006D56B5"/>
    <w:rsid w:val="00712C50"/>
    <w:rsid w:val="00775520"/>
    <w:rsid w:val="0077624E"/>
    <w:rsid w:val="00791D80"/>
    <w:rsid w:val="008422B7"/>
    <w:rsid w:val="008C4C55"/>
    <w:rsid w:val="008C67AE"/>
    <w:rsid w:val="008E0F0E"/>
    <w:rsid w:val="00911AE9"/>
    <w:rsid w:val="0092260E"/>
    <w:rsid w:val="00937CF7"/>
    <w:rsid w:val="00940B20"/>
    <w:rsid w:val="0095283F"/>
    <w:rsid w:val="00A6504C"/>
    <w:rsid w:val="00A878D6"/>
    <w:rsid w:val="00A92BF3"/>
    <w:rsid w:val="00AA71C1"/>
    <w:rsid w:val="00AB720D"/>
    <w:rsid w:val="00AE61E0"/>
    <w:rsid w:val="00AF2854"/>
    <w:rsid w:val="00B8299E"/>
    <w:rsid w:val="00BA4AF0"/>
    <w:rsid w:val="00BA65AE"/>
    <w:rsid w:val="00BF6886"/>
    <w:rsid w:val="00BF75D4"/>
    <w:rsid w:val="00C00325"/>
    <w:rsid w:val="00C25616"/>
    <w:rsid w:val="00C867D9"/>
    <w:rsid w:val="00CF18BD"/>
    <w:rsid w:val="00D10204"/>
    <w:rsid w:val="00D45F76"/>
    <w:rsid w:val="00DF6CC9"/>
    <w:rsid w:val="00EC3A32"/>
    <w:rsid w:val="00EF528A"/>
    <w:rsid w:val="00F92174"/>
    <w:rsid w:val="00F9306B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93184"/>
  <w15:chartTrackingRefBased/>
  <w15:docId w15:val="{4A6C8BED-D6EC-4614-918C-2CC6C7AF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2B70A6"/>
    <w:pPr>
      <w:keepLines/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B70A6"/>
  </w:style>
  <w:style w:type="character" w:styleId="FootnoteReference">
    <w:name w:val="footnote reference"/>
    <w:aliases w:val="o,fr,Style 13,Style 12,Style 15,Style 17,Style 9,o1,fr1,o2,fr2,o3,fr3,Style 18,(NECG) Footnote Reference,Style 20,Style 7,Style 8,Style 19,Style 28,Style 11,Style 16,Styl,Footnote Reference (EIS),fnr,Footnote reference (EA),Style 30,."/>
    <w:basedOn w:val="DefaultParagraphFont"/>
    <w:uiPriority w:val="99"/>
    <w:unhideWhenUsed/>
    <w:qFormat/>
    <w:rsid w:val="002B70A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762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24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55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576"/>
  </w:style>
  <w:style w:type="paragraph" w:styleId="Footer">
    <w:name w:val="footer"/>
    <w:basedOn w:val="Normal"/>
    <w:link w:val="FooterChar"/>
    <w:uiPriority w:val="99"/>
    <w:unhideWhenUsed/>
    <w:rsid w:val="003455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slocum@citize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2D94E-47E3-482D-BC99-2BD6B0E7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 Slocum</dc:creator>
  <cp:keywords/>
  <dc:description/>
  <cp:lastModifiedBy>Tyson Slocum</cp:lastModifiedBy>
  <cp:revision>58</cp:revision>
  <dcterms:created xsi:type="dcterms:W3CDTF">2022-09-03T01:54:00Z</dcterms:created>
  <dcterms:modified xsi:type="dcterms:W3CDTF">2022-10-25T18:50:00Z</dcterms:modified>
</cp:coreProperties>
</file>